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урок: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Параграф 17, документ стр. 36, вопрос 1, где и с какой периодичностью проводились ярмарки, какие товары и откуда были на ней.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урок: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Параграф 18, причины реформ, документ стр. 43, вопросы 3,4, сравнение Соборного уложения 1649 года и Судебника 1550 года - административное устройство и крестьянский вопрос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Ссылка Судебник 1550 года: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https://dep_iogip.pnzgu.ru/files/dep_iogip.pnzgu.ru/normativnie_akti/sudebnik_1550_goda.pdf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Ссылка Соборное уложение 1649 года: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http://www.hist.msu.ru/ER/Etext/1649.htm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ep_iogip.pnzgu.ru/files/dep_iogip.pnzgu.ru/normativnie_akti/sudebnik_1550_goda.pdf" Id="docRId0" Type="http://schemas.openxmlformats.org/officeDocument/2006/relationships/hyperlink"/><Relationship TargetMode="External" Target="http://www.hist.msu.ru/ER/Etext/1649.ht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